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438" w:rsidRPr="00B64592" w:rsidRDefault="00B64592" w:rsidP="00B64592">
      <w:pPr>
        <w:jc w:val="right"/>
        <w:rPr>
          <w:b/>
          <w:color w:val="0070C0"/>
        </w:rPr>
      </w:pPr>
      <w:bookmarkStart w:id="0" w:name="_GoBack"/>
      <w:bookmarkEnd w:id="0"/>
      <w:r w:rsidRPr="00B64592">
        <w:rPr>
          <w:b/>
          <w:color w:val="0070C0"/>
        </w:rPr>
        <w:t>ANEXA 12</w:t>
      </w:r>
    </w:p>
    <w:p w:rsidR="00961438" w:rsidRDefault="00093E54" w:rsidP="00466EB4">
      <w:pPr>
        <w:jc w:val="center"/>
        <w:rPr>
          <w:b/>
          <w:i/>
          <w:color w:val="0070C0"/>
        </w:rPr>
      </w:pPr>
      <w:r w:rsidRPr="00093E54">
        <w:rPr>
          <w:b/>
          <w:i/>
          <w:color w:val="0070C0"/>
        </w:rPr>
        <w:t>Lista domeniilor și a subdomeniilor de specializare inteligentă sprijinite</w:t>
      </w:r>
    </w:p>
    <w:p w:rsidR="00093E54" w:rsidRDefault="00093E54" w:rsidP="00466EB4">
      <w:pPr>
        <w:jc w:val="center"/>
        <w:rPr>
          <w:b/>
          <w:i/>
          <w:color w:val="0070C0"/>
        </w:rPr>
      </w:pPr>
    </w:p>
    <w:p w:rsidR="00093E54" w:rsidRDefault="00093E54" w:rsidP="00466EB4">
      <w:pPr>
        <w:rPr>
          <w:color w:val="0070C0"/>
        </w:rPr>
      </w:pPr>
      <w:r>
        <w:rPr>
          <w:color w:val="0070C0"/>
        </w:rPr>
        <w:t xml:space="preserve">În conformitate cu prevederile </w:t>
      </w:r>
      <w:r w:rsidRPr="00B2391B">
        <w:rPr>
          <w:i/>
          <w:color w:val="0070C0"/>
        </w:rPr>
        <w:t>HG nr. 933/2022 privind aprobarea S</w:t>
      </w:r>
      <w:r w:rsidRPr="00093E54">
        <w:rPr>
          <w:i/>
          <w:color w:val="0070C0"/>
        </w:rPr>
        <w:t>trategiei naționale de cercetare, inovare și specializare inteligentă 2022-2027</w:t>
      </w:r>
      <w:r w:rsidR="0026092D">
        <w:rPr>
          <w:color w:val="0070C0"/>
        </w:rPr>
        <w:t xml:space="preserve"> și luând</w:t>
      </w:r>
      <w:r w:rsidR="00B2391B">
        <w:rPr>
          <w:color w:val="0070C0"/>
        </w:rPr>
        <w:t xml:space="preserve"> în considerare </w:t>
      </w:r>
      <w:r w:rsidR="00B2391B" w:rsidRPr="00B2391B">
        <w:rPr>
          <w:i/>
          <w:color w:val="0070C0"/>
        </w:rPr>
        <w:t>Decizia Comisiei Europene nr.9445/09.12.2022</w:t>
      </w:r>
      <w:r w:rsidR="0026092D" w:rsidRPr="00B2391B">
        <w:rPr>
          <w:i/>
          <w:color w:val="0070C0"/>
        </w:rPr>
        <w:t xml:space="preserve"> de aprobare a Programului Creștere Inteligentă, Digitalizare și Instrumente Financiare 2021-2027 (POCIDIF)</w:t>
      </w:r>
      <w:r w:rsidR="00B2391B" w:rsidRPr="00B2391B">
        <w:rPr>
          <w:i/>
        </w:rPr>
        <w:t xml:space="preserve"> </w:t>
      </w:r>
      <w:r w:rsidR="00B2391B" w:rsidRPr="00B2391B">
        <w:rPr>
          <w:i/>
          <w:color w:val="0070C0"/>
        </w:rPr>
        <w:t>pentru sprijin din partea Fondului european de dezvoltare regională în cadrul obiectivului „Investiții pentru ocuparea forței de muncă și creștere economică” din România</w:t>
      </w:r>
      <w:r w:rsidR="00B2391B" w:rsidRPr="00B2391B">
        <w:rPr>
          <w:color w:val="0070C0"/>
        </w:rPr>
        <w:t>,</w:t>
      </w:r>
      <w:r w:rsidR="00B2391B">
        <w:rPr>
          <w:color w:val="0070C0"/>
        </w:rPr>
        <w:t xml:space="preserve"> următoarele domenii și subdomenii de specializare inteligentă sunt sprijinite în cadrul prezentului apel: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 Bioeconomie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1.1 Tehnologii pentru economia albastră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inovative pentru creșterea sustenabilității și valorificarea superioară a resurselor</w:t>
      </w:r>
      <w:r>
        <w:rPr>
          <w:color w:val="0070C0"/>
        </w:rPr>
        <w:t xml:space="preserve"> </w:t>
      </w:r>
      <w:r w:rsidRPr="000B05C2">
        <w:rPr>
          <w:color w:val="0070C0"/>
        </w:rPr>
        <w:t>marine - minerale, energetice neconvenționale, biologice.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1.2 Ameliorarea semințelor și raselor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Crearea de soiuri/varietăți/hibrizi/</w:t>
      </w:r>
      <w:proofErr w:type="spellStart"/>
      <w:r w:rsidRPr="000B05C2">
        <w:rPr>
          <w:color w:val="0070C0"/>
        </w:rPr>
        <w:t>ideotipuri</w:t>
      </w:r>
      <w:proofErr w:type="spellEnd"/>
      <w:r w:rsidRPr="000B05C2">
        <w:rPr>
          <w:color w:val="0070C0"/>
        </w:rPr>
        <w:t xml:space="preserve"> de plante și rase de animale mai bine adaptate la noile</w:t>
      </w:r>
      <w:r>
        <w:rPr>
          <w:color w:val="0070C0"/>
        </w:rPr>
        <w:t xml:space="preserve"> </w:t>
      </w:r>
      <w:r w:rsidRPr="000B05C2">
        <w:rPr>
          <w:color w:val="0070C0"/>
        </w:rPr>
        <w:t>provocări din agricultură și silvicultură, precum schimbările climatice, factorii de stres biotici și abiotici</w:t>
      </w:r>
      <w:r>
        <w:rPr>
          <w:color w:val="0070C0"/>
        </w:rPr>
        <w:t xml:space="preserve"> </w:t>
      </w:r>
      <w:r w:rsidRPr="000B05C2">
        <w:rPr>
          <w:color w:val="0070C0"/>
        </w:rPr>
        <w:t>existenți, nevoia de hrană sănătoasă și în volume tot mai mari și de un mediu sănătos. Include și</w:t>
      </w:r>
      <w:r>
        <w:rPr>
          <w:color w:val="0070C0"/>
        </w:rPr>
        <w:t xml:space="preserve"> </w:t>
      </w:r>
      <w:r w:rsidRPr="000B05C2">
        <w:rPr>
          <w:color w:val="0070C0"/>
        </w:rPr>
        <w:t>producerea de puieți forestieri genetic ameliorați, rezistenți la secetă, la boli și dăunători, adaptați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 extreme și utilizați în reconstrucția ecologică.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1.3 Tehnologii pentru agricultura ecologică, agroecologie și silvicultură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ecologică este un sistem de producție agricol durabil, ce susține sănătatea solului, a</w:t>
      </w:r>
      <w:r>
        <w:rPr>
          <w:color w:val="0070C0"/>
        </w:rPr>
        <w:t xml:space="preserve"> </w:t>
      </w:r>
      <w:r w:rsidRPr="000B05C2">
        <w:rPr>
          <w:color w:val="0070C0"/>
        </w:rPr>
        <w:t>ecosistemelor și a oamenilor. Se bazează pe procese ecologice, biodiversitate și cicluri adaptate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condițiile locale în detrimentul utilizării input-urilor cu efecte adverse. Tehnologiile avansate la nivel</w:t>
      </w:r>
      <w:r>
        <w:rPr>
          <w:color w:val="0070C0"/>
        </w:rPr>
        <w:t xml:space="preserve"> </w:t>
      </w:r>
      <w:r w:rsidRPr="000B05C2">
        <w:rPr>
          <w:color w:val="0070C0"/>
        </w:rPr>
        <w:t xml:space="preserve">de complex </w:t>
      </w:r>
      <w:proofErr w:type="spellStart"/>
      <w:r w:rsidRPr="000B05C2">
        <w:rPr>
          <w:color w:val="0070C0"/>
        </w:rPr>
        <w:t>ecosistemic</w:t>
      </w:r>
      <w:proofErr w:type="spellEnd"/>
      <w:r w:rsidRPr="000B05C2">
        <w:rPr>
          <w:color w:val="0070C0"/>
        </w:rPr>
        <w:t xml:space="preserve"> contribuie la dezvoltarea sectoarelor forestier, cinegetic, agrosilvic și agroecologic.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1.4 Agricultura 4.0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4.0 reprezintă noua revoluție agricolă, integrând agricultura de precizie, robotica, aplicații</w:t>
      </w:r>
      <w:r>
        <w:rPr>
          <w:color w:val="0070C0"/>
        </w:rPr>
        <w:t xml:space="preserve"> </w:t>
      </w:r>
      <w:r w:rsidRPr="000B05C2">
        <w:rPr>
          <w:color w:val="0070C0"/>
        </w:rPr>
        <w:t xml:space="preserve">ale </w:t>
      </w:r>
      <w:proofErr w:type="spellStart"/>
      <w:r w:rsidRPr="000B05C2">
        <w:rPr>
          <w:color w:val="0070C0"/>
        </w:rPr>
        <w:t>IoT</w:t>
      </w:r>
      <w:proofErr w:type="spellEnd"/>
      <w:r w:rsidRPr="000B05C2">
        <w:rPr>
          <w:color w:val="0070C0"/>
        </w:rPr>
        <w:t xml:space="preserve">, big data, </w:t>
      </w:r>
      <w:proofErr w:type="spellStart"/>
      <w:r w:rsidRPr="000B05C2">
        <w:rPr>
          <w:color w:val="0070C0"/>
        </w:rPr>
        <w:t>blockchain</w:t>
      </w:r>
      <w:proofErr w:type="spellEnd"/>
      <w:r w:rsidRPr="000B05C2">
        <w:rPr>
          <w:color w:val="0070C0"/>
        </w:rPr>
        <w:t>, inteligenței artificiale și ale tehnologiilor de imagistică a plantelor. Acest</w:t>
      </w:r>
      <w:r>
        <w:rPr>
          <w:color w:val="0070C0"/>
        </w:rPr>
        <w:t xml:space="preserve"> </w:t>
      </w:r>
      <w:r w:rsidRPr="000B05C2">
        <w:rPr>
          <w:color w:val="0070C0"/>
        </w:rPr>
        <w:t>progres tehnologic va conduce la implementarea unor procese specifice mai eficiente, sigure și</w:t>
      </w:r>
      <w:r>
        <w:rPr>
          <w:color w:val="0070C0"/>
        </w:rPr>
        <w:t xml:space="preserve"> </w:t>
      </w:r>
      <w:r w:rsidRPr="000B05C2">
        <w:rPr>
          <w:color w:val="0070C0"/>
        </w:rPr>
        <w:t>prietenoase cu mediul și la o valorificare mai bună a resurselor disponibile.</w:t>
      </w:r>
    </w:p>
    <w:p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1.5 Alimente sigure și durabile pentru o dietă sănătoasă</w:t>
      </w:r>
    </w:p>
    <w:p w:rsid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dezvoltarea de alimente durabile bazate pe concepte dietetice sănătoase, conforme cu</w:t>
      </w:r>
      <w:r>
        <w:rPr>
          <w:color w:val="0070C0"/>
        </w:rPr>
        <w:t xml:space="preserve"> </w:t>
      </w:r>
      <w:r w:rsidRPr="000B05C2">
        <w:rPr>
          <w:color w:val="0070C0"/>
        </w:rPr>
        <w:t>nevoile nutriționale/ senzoriale ale consumatorilor, cu normele de calitate și legate de stilul de viață</w:t>
      </w:r>
      <w:r>
        <w:rPr>
          <w:color w:val="0070C0"/>
        </w:rPr>
        <w:t xml:space="preserve"> </w:t>
      </w:r>
      <w:r w:rsidRPr="000B05C2">
        <w:rPr>
          <w:color w:val="0070C0"/>
        </w:rPr>
        <w:t>local. Urmărește echilibrul între cerere și resurse, prin (1) dezvoltarea de alimente reformulate din</w:t>
      </w:r>
      <w:r>
        <w:rPr>
          <w:color w:val="0070C0"/>
        </w:rPr>
        <w:t xml:space="preserve"> </w:t>
      </w:r>
      <w:r w:rsidRPr="000B05C2">
        <w:rPr>
          <w:color w:val="0070C0"/>
        </w:rPr>
        <w:t>punct de vedere compozițional în scopul combaterii bolilor de nutriție/obezității, (2) valorificarea de</w:t>
      </w:r>
      <w:r>
        <w:rPr>
          <w:color w:val="0070C0"/>
        </w:rPr>
        <w:t xml:space="preserve"> </w:t>
      </w:r>
      <w:r w:rsidRPr="000B05C2">
        <w:rPr>
          <w:color w:val="0070C0"/>
        </w:rPr>
        <w:t>materii prime autohtone/provenite din culturi ecologice, și (3) dezvoltarea de sisteme de autenticitate</w:t>
      </w:r>
      <w:r>
        <w:rPr>
          <w:color w:val="0070C0"/>
        </w:rPr>
        <w:t xml:space="preserve"> </w:t>
      </w:r>
      <w:r w:rsidRPr="000B05C2">
        <w:rPr>
          <w:color w:val="0070C0"/>
        </w:rPr>
        <w:t xml:space="preserve">și siguranță alimentară. Parte a acestui demers, </w:t>
      </w:r>
      <w:proofErr w:type="spellStart"/>
      <w:r w:rsidRPr="000B05C2">
        <w:rPr>
          <w:color w:val="0070C0"/>
        </w:rPr>
        <w:t>foodomics</w:t>
      </w:r>
      <w:proofErr w:type="spellEnd"/>
      <w:r w:rsidRPr="000B05C2">
        <w:rPr>
          <w:color w:val="0070C0"/>
        </w:rPr>
        <w:t xml:space="preserve"> permite conectivitatea dintre alimente,</w:t>
      </w:r>
      <w:r>
        <w:rPr>
          <w:color w:val="0070C0"/>
        </w:rPr>
        <w:t xml:space="preserve"> </w:t>
      </w:r>
      <w:r w:rsidRPr="000B05C2">
        <w:rPr>
          <w:color w:val="0070C0"/>
        </w:rPr>
        <w:t>dietă, sănătatea individului, prin aplicarea unor abordări „</w:t>
      </w:r>
      <w:proofErr w:type="spellStart"/>
      <w:r w:rsidRPr="000B05C2">
        <w:rPr>
          <w:color w:val="0070C0"/>
        </w:rPr>
        <w:t>omice</w:t>
      </w:r>
      <w:proofErr w:type="spellEnd"/>
      <w:r w:rsidRPr="000B05C2">
        <w:rPr>
          <w:color w:val="0070C0"/>
        </w:rPr>
        <w:t xml:space="preserve">” precum </w:t>
      </w:r>
      <w:proofErr w:type="spellStart"/>
      <w:r w:rsidRPr="000B05C2">
        <w:rPr>
          <w:color w:val="0070C0"/>
        </w:rPr>
        <w:t>genomica</w:t>
      </w:r>
      <w:proofErr w:type="spellEnd"/>
      <w:r w:rsidRPr="000B05C2">
        <w:rPr>
          <w:color w:val="0070C0"/>
        </w:rPr>
        <w:t xml:space="preserve">, </w:t>
      </w:r>
      <w:proofErr w:type="spellStart"/>
      <w:r w:rsidRPr="000B05C2">
        <w:rPr>
          <w:color w:val="0070C0"/>
        </w:rPr>
        <w:t>transcriptomica</w:t>
      </w:r>
      <w:proofErr w:type="spellEnd"/>
      <w:r w:rsidRPr="000B05C2">
        <w:rPr>
          <w:color w:val="0070C0"/>
        </w:rPr>
        <w:t>,</w:t>
      </w:r>
      <w:r>
        <w:rPr>
          <w:color w:val="0070C0"/>
        </w:rPr>
        <w:t xml:space="preserve"> </w:t>
      </w:r>
      <w:proofErr w:type="spellStart"/>
      <w:r w:rsidRPr="000B05C2">
        <w:rPr>
          <w:color w:val="0070C0"/>
        </w:rPr>
        <w:t>proteomica</w:t>
      </w:r>
      <w:proofErr w:type="spellEnd"/>
      <w:r w:rsidRPr="000B05C2">
        <w:rPr>
          <w:color w:val="0070C0"/>
        </w:rPr>
        <w:t xml:space="preserve"> și </w:t>
      </w:r>
      <w:proofErr w:type="spellStart"/>
      <w:r w:rsidRPr="000B05C2">
        <w:rPr>
          <w:color w:val="0070C0"/>
        </w:rPr>
        <w:t>metabolomica</w:t>
      </w:r>
      <w:proofErr w:type="spellEnd"/>
      <w:r w:rsidRPr="000B05C2">
        <w:rPr>
          <w:color w:val="0070C0"/>
        </w:rPr>
        <w:t xml:space="preserve">, </w:t>
      </w:r>
      <w:proofErr w:type="spellStart"/>
      <w:r w:rsidRPr="000B05C2">
        <w:rPr>
          <w:color w:val="0070C0"/>
        </w:rPr>
        <w:t>epigenomica</w:t>
      </w:r>
      <w:proofErr w:type="spellEnd"/>
      <w:r w:rsidRPr="000B05C2">
        <w:rPr>
          <w:color w:val="0070C0"/>
        </w:rPr>
        <w:t xml:space="preserve">, </w:t>
      </w:r>
      <w:proofErr w:type="spellStart"/>
      <w:r w:rsidRPr="000B05C2">
        <w:rPr>
          <w:color w:val="0070C0"/>
        </w:rPr>
        <w:t>lipidomica</w:t>
      </w:r>
      <w:proofErr w:type="spellEnd"/>
      <w:r w:rsidRPr="000B05C2">
        <w:rPr>
          <w:color w:val="0070C0"/>
        </w:rPr>
        <w:t xml:space="preserve">, </w:t>
      </w:r>
      <w:proofErr w:type="spellStart"/>
      <w:r w:rsidRPr="000B05C2">
        <w:rPr>
          <w:color w:val="0070C0"/>
        </w:rPr>
        <w:t>interactivomica</w:t>
      </w:r>
      <w:proofErr w:type="spellEnd"/>
      <w:r w:rsidRPr="000B05C2">
        <w:rPr>
          <w:color w:val="0070C0"/>
        </w:rPr>
        <w:t xml:space="preserve">, </w:t>
      </w:r>
      <w:proofErr w:type="spellStart"/>
      <w:r w:rsidRPr="000B05C2">
        <w:rPr>
          <w:color w:val="0070C0"/>
        </w:rPr>
        <w:t>metalomica</w:t>
      </w:r>
      <w:proofErr w:type="spellEnd"/>
      <w:r w:rsidRPr="000B05C2">
        <w:rPr>
          <w:color w:val="0070C0"/>
        </w:rPr>
        <w:t xml:space="preserve"> și/sau</w:t>
      </w:r>
      <w:r>
        <w:rPr>
          <w:color w:val="0070C0"/>
        </w:rPr>
        <w:t xml:space="preserve"> </w:t>
      </w:r>
      <w:proofErr w:type="spellStart"/>
      <w:r w:rsidRPr="000B05C2">
        <w:rPr>
          <w:color w:val="0070C0"/>
        </w:rPr>
        <w:t>diseasomica</w:t>
      </w:r>
      <w:proofErr w:type="spellEnd"/>
      <w:r w:rsidRPr="000B05C2">
        <w:rPr>
          <w:color w:val="0070C0"/>
        </w:rPr>
        <w:t>.</w:t>
      </w:r>
    </w:p>
    <w:p w:rsidR="000B05C2" w:rsidRPr="000B05C2" w:rsidRDefault="000B05C2" w:rsidP="00466EB4">
      <w:pPr>
        <w:rPr>
          <w:color w:val="0070C0"/>
        </w:rPr>
      </w:pPr>
    </w:p>
    <w:p w:rsidR="000B05C2" w:rsidRPr="000B05C2" w:rsidRDefault="000B05C2" w:rsidP="00466EB4">
      <w:pPr>
        <w:rPr>
          <w:color w:val="0070C0"/>
        </w:rPr>
      </w:pPr>
      <w:r w:rsidRPr="00466EB4">
        <w:rPr>
          <w:b/>
          <w:color w:val="0070C0"/>
        </w:rPr>
        <w:t>2. Economie digitală și tehnologii spațiale</w:t>
      </w:r>
    </w:p>
    <w:p w:rsidR="000B05C2" w:rsidRPr="00466EB4" w:rsidRDefault="000B05C2" w:rsidP="00466EB4">
      <w:pPr>
        <w:rPr>
          <w:b/>
          <w:color w:val="0070C0"/>
        </w:rPr>
      </w:pPr>
      <w:r w:rsidRPr="00466EB4">
        <w:rPr>
          <w:b/>
          <w:color w:val="0070C0"/>
        </w:rPr>
        <w:t>2.1 Dispozitive și sisteme microelectronice pentru produse inteligente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 xml:space="preserve">Include dispozitive și circuite integrate, inclusiv bazate pe efecte cuantice, senzori inteligenți, </w:t>
      </w:r>
      <w:proofErr w:type="spellStart"/>
      <w:r w:rsidRPr="000B05C2">
        <w:rPr>
          <w:color w:val="0070C0"/>
        </w:rPr>
        <w:t>lab-ona</w:t>
      </w:r>
      <w:proofErr w:type="spellEnd"/>
      <w:r w:rsidRPr="000B05C2">
        <w:rPr>
          <w:color w:val="0070C0"/>
        </w:rPr>
        <w:t xml:space="preserve"> chip și microsisteme. Domeniul este focalizat pe soluții inovative în proiectarea, implementarea,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testarea și caracterizarea circuitelor integrate, dispozitivelor și sistemelor microelectronice destinate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dezvoltării produselor inteligente.</w:t>
      </w:r>
    </w:p>
    <w:p w:rsidR="000B05C2" w:rsidRPr="002D2873" w:rsidRDefault="000B05C2" w:rsidP="00466EB4">
      <w:pPr>
        <w:rPr>
          <w:b/>
          <w:color w:val="0070C0"/>
        </w:rPr>
      </w:pPr>
      <w:r w:rsidRPr="002D2873">
        <w:rPr>
          <w:b/>
          <w:color w:val="0070C0"/>
        </w:rPr>
        <w:t>2.2 Rețelele viitorului, comunicații, internetul lucrurilor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Cuprinde aplicații bazate pe rețele de senzori inteligenți, Internetul lucrurilor și formele asociate de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calcul distribuit („</w:t>
      </w:r>
      <w:proofErr w:type="spellStart"/>
      <w:r w:rsidRPr="000B05C2">
        <w:rPr>
          <w:color w:val="0070C0"/>
        </w:rPr>
        <w:t>fog</w:t>
      </w:r>
      <w:proofErr w:type="spellEnd"/>
      <w:r w:rsidRPr="000B05C2">
        <w:rPr>
          <w:color w:val="0070C0"/>
        </w:rPr>
        <w:t>” sau „</w:t>
      </w:r>
      <w:proofErr w:type="spellStart"/>
      <w:r w:rsidRPr="000B05C2">
        <w:rPr>
          <w:color w:val="0070C0"/>
        </w:rPr>
        <w:t>edge</w:t>
      </w:r>
      <w:proofErr w:type="spellEnd"/>
      <w:r w:rsidRPr="000B05C2">
        <w:rPr>
          <w:color w:val="0070C0"/>
        </w:rPr>
        <w:t>”), precum și integrarea acestora cu tehnologiile geospațiale, în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domenii diverse precum: prevenția și reacția rapidă la dezastre naturale, orașul inteligent,</w:t>
      </w:r>
      <w:r w:rsidR="002D2873">
        <w:rPr>
          <w:color w:val="0070C0"/>
        </w:rPr>
        <w:t xml:space="preserve"> </w:t>
      </w:r>
      <w:r w:rsidRPr="000B05C2">
        <w:rPr>
          <w:color w:val="0070C0"/>
        </w:rPr>
        <w:t>comunicarea vehicul-vehicul, monitorizarea pacienților etc.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2.3 Tehnologii pentru economia spațială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Economia spațială implică tehnologii inovative din mecanică, mecatronică, robotică, electronică,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 xml:space="preserve">comunicații, IT, biologie și medicină, materiale, aplicații radio, </w:t>
      </w:r>
      <w:proofErr w:type="spellStart"/>
      <w:r w:rsidRPr="000B05C2">
        <w:rPr>
          <w:color w:val="0070C0"/>
        </w:rPr>
        <w:t>THz</w:t>
      </w:r>
      <w:proofErr w:type="spellEnd"/>
      <w:r w:rsidRPr="000B05C2">
        <w:rPr>
          <w:color w:val="0070C0"/>
        </w:rPr>
        <w:t>, IR, UV la X și gamma, etc. și 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un rol cheie în securitatea națională, managementul dezastrelor, protecția mediului, reziliența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comunicațiilor, traficul aerian, maritim și terestru etc. Aceasta include și tehnologiile de operare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robotică pentru noua generație de vehicule de explorare a spațiului.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2.4 Tehnologii XR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 xml:space="preserve">Cuprinde aplicații complexe ale tehnologiilor </w:t>
      </w:r>
      <w:proofErr w:type="spellStart"/>
      <w:r w:rsidRPr="000B05C2">
        <w:rPr>
          <w:color w:val="0070C0"/>
        </w:rPr>
        <w:t>imersive</w:t>
      </w:r>
      <w:proofErr w:type="spellEnd"/>
      <w:r w:rsidRPr="000B05C2">
        <w:rPr>
          <w:color w:val="0070C0"/>
        </w:rPr>
        <w:t>, precum realitate virtuală, realitate augmentată,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interfața creier-calculator („</w:t>
      </w:r>
      <w:proofErr w:type="spellStart"/>
      <w:r w:rsidRPr="000B05C2">
        <w:rPr>
          <w:color w:val="0070C0"/>
        </w:rPr>
        <w:t>Brain-Machine</w:t>
      </w:r>
      <w:proofErr w:type="spellEnd"/>
      <w:r w:rsidRPr="000B05C2">
        <w:rPr>
          <w:color w:val="0070C0"/>
        </w:rPr>
        <w:t xml:space="preserve"> </w:t>
      </w:r>
      <w:proofErr w:type="spellStart"/>
      <w:r w:rsidRPr="000B05C2">
        <w:rPr>
          <w:color w:val="0070C0"/>
        </w:rPr>
        <w:t>Interface</w:t>
      </w:r>
      <w:proofErr w:type="spellEnd"/>
      <w:r w:rsidRPr="000B05C2">
        <w:rPr>
          <w:color w:val="0070C0"/>
        </w:rPr>
        <w:t>” - BMI) pentru domeniile: cultural, educațional,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industrial, terapeutic și medical, servicii (de divertisment, retail etc.)</w:t>
      </w:r>
      <w:r w:rsidR="00DA6B9E">
        <w:rPr>
          <w:color w:val="0070C0"/>
        </w:rPr>
        <w:t>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2.5 Sisteme de inteligență artificială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tehnicile inteligenței artificiale și aplicațiile acestora precum prelucrarea limbajului, vederea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computerizată, predicția evoluției unor fenomene, sistemele de recomandare etc. O atenție deosebită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se va acorda sistemelor de inteligență artificială de încredere, definite ca sisteme tehnic robuste,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sigure, transparente, capabile să explice deciziile luate și care să asigure nediscriminare, diversitate,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echitate, co</w:t>
      </w:r>
      <w:r w:rsidR="00DA6B9E">
        <w:rPr>
          <w:color w:val="0070C0"/>
        </w:rPr>
        <w:t>ntribuind la bunăstarea socială</w:t>
      </w:r>
      <w:r w:rsidRPr="000B05C2">
        <w:rPr>
          <w:color w:val="0070C0"/>
        </w:rPr>
        <w:t>.</w:t>
      </w:r>
    </w:p>
    <w:p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2.6 Securitate cibernetică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Securitatea cibernetică vizează protejarea sistemelor și a rețelelor informatice și gestiunea riscurilor,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în contextul extinderii frontului vulnerabilităților ca urmare a digitalizării rapide și a importanței datelor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ca resursa fundamentală în economie și cercetare. Inovarea în securitatea cibernetică include soluții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pentru automatizarea profilării vulnerabilităților și a adresării atacurilor, protejarea fluxurilor de date,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managementul identităților, recuperarea în situații de atac și educarea utilizatorilor.</w:t>
      </w:r>
    </w:p>
    <w:p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2.7 Tehnologii pentru trasabilitate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 xml:space="preserve">Cuprinde aplicații ale tehnologiilor disruptive precum </w:t>
      </w:r>
      <w:proofErr w:type="spellStart"/>
      <w:r w:rsidRPr="000B05C2">
        <w:rPr>
          <w:color w:val="0070C0"/>
        </w:rPr>
        <w:t>blockchain</w:t>
      </w:r>
      <w:proofErr w:type="spellEnd"/>
      <w:r w:rsidRPr="000B05C2">
        <w:rPr>
          <w:color w:val="0070C0"/>
        </w:rPr>
        <w:t>, inteligența artificială, internetul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 xml:space="preserve">lucrurilor și platforme </w:t>
      </w:r>
      <w:proofErr w:type="spellStart"/>
      <w:r w:rsidRPr="000B05C2">
        <w:rPr>
          <w:color w:val="0070C0"/>
        </w:rPr>
        <w:t>colaborative</w:t>
      </w:r>
      <w:proofErr w:type="spellEnd"/>
      <w:r w:rsidRPr="000B05C2">
        <w:rPr>
          <w:color w:val="0070C0"/>
        </w:rPr>
        <w:t>, prin care se asigură trasabilitatea bunurilor diverse, permițând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garantarea autenticității, transparentizarea și eficientizarea lanțurilor de valoare adăugată.</w:t>
      </w:r>
    </w:p>
    <w:p w:rsidR="00C26DEA" w:rsidRDefault="00C26DEA" w:rsidP="00466EB4">
      <w:pPr>
        <w:rPr>
          <w:b/>
          <w:color w:val="0070C0"/>
        </w:rPr>
      </w:pPr>
    </w:p>
    <w:p w:rsidR="00D541EB" w:rsidRDefault="00D541EB" w:rsidP="00466EB4">
      <w:pPr>
        <w:rPr>
          <w:b/>
          <w:color w:val="0070C0"/>
        </w:rPr>
      </w:pPr>
    </w:p>
    <w:p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lastRenderedPageBreak/>
        <w:t>2.8 Roboți și agenți cognitivi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Robotica cognitivă vizează înzestrarea roboților cu inteligență artificială, permițându-le să învețe și să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răspundă la situații diverse din lumea reală. Funcțiile unui robot inteligent includ, de exemplu: vedere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artificială, recunoaștere automată a vorbirii, sinteza automată a vorbirii, anticipare și planificare,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 xml:space="preserve">mișcare autonomă, imitația </w:t>
      </w:r>
      <w:proofErr w:type="spellStart"/>
      <w:r w:rsidRPr="000B05C2">
        <w:rPr>
          <w:color w:val="0070C0"/>
        </w:rPr>
        <w:t>morfo</w:t>
      </w:r>
      <w:proofErr w:type="spellEnd"/>
      <w:r w:rsidRPr="000B05C2">
        <w:rPr>
          <w:color w:val="0070C0"/>
        </w:rPr>
        <w:t>-funcțională umană, capacitatea de învățare, abilitatea de a explora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 cont propriu.</w:t>
      </w:r>
    </w:p>
    <w:p w:rsidR="000B05C2" w:rsidRPr="003D79D1" w:rsidRDefault="000B05C2" w:rsidP="00466EB4">
      <w:pPr>
        <w:rPr>
          <w:b/>
          <w:color w:val="0070C0"/>
        </w:rPr>
      </w:pPr>
      <w:r w:rsidRPr="003D79D1">
        <w:rPr>
          <w:b/>
          <w:color w:val="0070C0"/>
        </w:rPr>
        <w:t>3. Energie și mobilitate</w:t>
      </w:r>
    </w:p>
    <w:p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3.1 Mobilitate verde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vehicule electrice și hibride, inclusiv bazate pe hidrogen, pentru toate tipurile de transport,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precum și: componente ale sistemelor de propulsie și cele auxiliare acestora; sisteme de stocare a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energiei și de management energetic pentru acestea; utilizarea în comun și integrarea acestor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 xml:space="preserve">vehicule în orașe inteligente; soluțiile de interoperabilitate și </w:t>
      </w:r>
      <w:proofErr w:type="spellStart"/>
      <w:r w:rsidRPr="000B05C2">
        <w:rPr>
          <w:color w:val="0070C0"/>
        </w:rPr>
        <w:t>intermodalitate</w:t>
      </w:r>
      <w:proofErr w:type="spellEnd"/>
      <w:r w:rsidRPr="000B05C2">
        <w:rPr>
          <w:color w:val="0070C0"/>
        </w:rPr>
        <w:t xml:space="preserve"> în transport.</w:t>
      </w:r>
    </w:p>
    <w:p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3.2 Tehnologii moderne de generare a energiei cu emisii scăzute sau zero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Tehnologii și sisteme de conversie a energiei din surse regenerabile de energie (hidraulică, eoliană,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solară, biomasă, geotermală), valorificarea energetică a hidrogenului, utilizarea energiei nucleare,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valorificarea energetică cu emisii scăzute a cărbunelui și a gazelor naturale.</w:t>
      </w:r>
    </w:p>
    <w:p w:rsidR="000B05C2" w:rsidRPr="00233E33" w:rsidRDefault="000B05C2" w:rsidP="00466EB4">
      <w:pPr>
        <w:rPr>
          <w:b/>
          <w:color w:val="0070C0"/>
        </w:rPr>
      </w:pPr>
      <w:r w:rsidRPr="00233E33">
        <w:rPr>
          <w:b/>
          <w:color w:val="0070C0"/>
        </w:rPr>
        <w:t>3.3 Digitalizare în energie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Soluțiile digitale pentru monitorizarea și controlul sistemelor energetice, integrate între palierele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sectorului (producere, transport, distribuție, utilizare) vor facilita implementarea măsurilor pentru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creșterea eficienței energetice, sporirea flexibilității sistemului, </w:t>
      </w:r>
      <w:proofErr w:type="spellStart"/>
      <w:r w:rsidRPr="000B05C2">
        <w:rPr>
          <w:color w:val="0070C0"/>
        </w:rPr>
        <w:t>prioritizarea</w:t>
      </w:r>
      <w:proofErr w:type="spellEnd"/>
      <w:r w:rsidRPr="000B05C2">
        <w:rPr>
          <w:color w:val="0070C0"/>
        </w:rPr>
        <w:t xml:space="preserve"> consumului de energie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curată și optimizarea consumurilor la utilizatori. Digitalizarea permite implementarea unor funcții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tip </w:t>
      </w:r>
      <w:proofErr w:type="spellStart"/>
      <w:r w:rsidRPr="000B05C2">
        <w:rPr>
          <w:color w:val="0070C0"/>
        </w:rPr>
        <w:t>Smart</w:t>
      </w:r>
      <w:proofErr w:type="spellEnd"/>
      <w:r w:rsidRPr="000B05C2">
        <w:rPr>
          <w:color w:val="0070C0"/>
        </w:rPr>
        <w:t xml:space="preserve"> </w:t>
      </w:r>
      <w:proofErr w:type="spellStart"/>
      <w:r w:rsidRPr="000B05C2">
        <w:rPr>
          <w:color w:val="0070C0"/>
        </w:rPr>
        <w:t>Grids</w:t>
      </w:r>
      <w:proofErr w:type="spellEnd"/>
      <w:r w:rsidRPr="000B05C2">
        <w:rPr>
          <w:color w:val="0070C0"/>
        </w:rPr>
        <w:t xml:space="preserve"> la nivelul transportului și distribuției de energie electrică, dar și la cel al utilizatorilor.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3.4 Stocarea energiei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Stocarea energiei este principalul mijloc prin care se asigură creșterea ponderii surselor regenerabile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energie. Sunt câteva elemente majore care impulsionează dezvoltarea tehnologiilor în zona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stocării energiei: eforturile de decarbonizare a sectoarelor economice, digitalizarea și descentralizarea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- în care consumatorii finali devin „actori” activi („pro-</w:t>
      </w:r>
      <w:proofErr w:type="spellStart"/>
      <w:r w:rsidRPr="000B05C2">
        <w:rPr>
          <w:color w:val="0070C0"/>
        </w:rPr>
        <w:t>sumers</w:t>
      </w:r>
      <w:proofErr w:type="spellEnd"/>
      <w:r w:rsidRPr="000B05C2">
        <w:rPr>
          <w:color w:val="0070C0"/>
        </w:rPr>
        <w:t>”). Sistemele de stocare pot fi chimice,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 potențial gravitațional, cu potențial electric, la temperatura ridicată, cu căldura latentă și de tip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cinetic.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 Fabricație avansată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4.1 Tehnologii de fabricație pentru industria aeronautică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Noi tehnologii de fabricație care răspund cerințelor pentru industria aerospațială în contextul „Green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Deal” și „Circular </w:t>
      </w:r>
      <w:proofErr w:type="spellStart"/>
      <w:r w:rsidRPr="000B05C2">
        <w:rPr>
          <w:color w:val="0070C0"/>
        </w:rPr>
        <w:t>Aviation</w:t>
      </w:r>
      <w:proofErr w:type="spellEnd"/>
      <w:r w:rsidRPr="000B05C2">
        <w:rPr>
          <w:color w:val="0070C0"/>
        </w:rPr>
        <w:t>”. Tehnologiile vizează atât introducerea materialelor de nouă generație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(poli/</w:t>
      </w:r>
      <w:proofErr w:type="spellStart"/>
      <w:r w:rsidRPr="000B05C2">
        <w:rPr>
          <w:color w:val="0070C0"/>
        </w:rPr>
        <w:t>multi</w:t>
      </w:r>
      <w:proofErr w:type="spellEnd"/>
      <w:r w:rsidRPr="000B05C2">
        <w:rPr>
          <w:color w:val="0070C0"/>
        </w:rPr>
        <w:t>-funcționale), cât și performanța pe întreg ciclul de producție-utilizare-reciclare.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4.2 Digitalizarea și robotizarea fabricației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aplicațiile industriale ale internetului lucrurilor, roboți industriali înzestrați cu inteligență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artificială, inclusiv roboți inteligenți autonomi pentru logistică.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4.3 Tehnologii avansate de fabricație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>Include tehnologiile de fabricație aditivă, cu materiale organice sau anorganice, și alte tehnologii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fabricație de precizie, precum – de exemplu: prelucrări tehnologice cu laser (sudură, sinterizare,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acoperire), mașini unelte cu toleranță </w:t>
      </w:r>
      <w:proofErr w:type="spellStart"/>
      <w:r w:rsidRPr="000B05C2">
        <w:rPr>
          <w:color w:val="0070C0"/>
        </w:rPr>
        <w:t>micronică</w:t>
      </w:r>
      <w:proofErr w:type="spellEnd"/>
      <w:r w:rsidRPr="000B05C2">
        <w:rPr>
          <w:color w:val="0070C0"/>
        </w:rPr>
        <w:t>, etc.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 Materiale funcționale avansate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5.1 Optoelectronica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dispozitivele electronice care detectează, generează și controlează radiația electromagnetică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din spectrul ultraviolet, vizibil și infraroșu, incluzând cristalele fotonice și circuitele fotonice integrate.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Optoelectronica realizează legături între optică, electronică, senzori, comunicații, </w:t>
      </w:r>
      <w:proofErr w:type="spellStart"/>
      <w:r w:rsidRPr="000B05C2">
        <w:rPr>
          <w:color w:val="0070C0"/>
        </w:rPr>
        <w:t>lab</w:t>
      </w:r>
      <w:proofErr w:type="spellEnd"/>
      <w:r w:rsidRPr="000B05C2">
        <w:rPr>
          <w:color w:val="0070C0"/>
        </w:rPr>
        <w:t>-on-chip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tehnologii cuantice și are aplicații în biologie, medicină, industria farmaceutică, chimia și știința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materialelor, industria semiconductorilor.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5.2 Materiale compozite inteligente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 xml:space="preserve">Materialele compozite inteligente sunt </w:t>
      </w:r>
      <w:proofErr w:type="spellStart"/>
      <w:r w:rsidRPr="000B05C2">
        <w:rPr>
          <w:color w:val="0070C0"/>
        </w:rPr>
        <w:t>responsive</w:t>
      </w:r>
      <w:proofErr w:type="spellEnd"/>
      <w:r w:rsidRPr="000B05C2">
        <w:rPr>
          <w:color w:val="0070C0"/>
        </w:rPr>
        <w:t xml:space="preserve"> la stimuli externi precum stres mecanic, câmpuri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magnetice/electrice, lumină, temperatură, pH, umiditate, componente chimice. Au aplicații în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construcții (materiale și finisaje durabile cu proprietăți de </w:t>
      </w:r>
      <w:proofErr w:type="spellStart"/>
      <w:r w:rsidRPr="000B05C2">
        <w:rPr>
          <w:color w:val="0070C0"/>
        </w:rPr>
        <w:t>autoreparare</w:t>
      </w:r>
      <w:proofErr w:type="spellEnd"/>
      <w:r w:rsidRPr="000B05C2">
        <w:rPr>
          <w:color w:val="0070C0"/>
        </w:rPr>
        <w:t xml:space="preserve">, </w:t>
      </w:r>
      <w:proofErr w:type="spellStart"/>
      <w:r w:rsidRPr="000B05C2">
        <w:rPr>
          <w:color w:val="0070C0"/>
        </w:rPr>
        <w:t>autocurățare</w:t>
      </w:r>
      <w:proofErr w:type="spellEnd"/>
      <w:r w:rsidRPr="000B05C2">
        <w:rPr>
          <w:color w:val="0070C0"/>
        </w:rPr>
        <w:t>, materiale</w:t>
      </w:r>
      <w:r w:rsidR="000D1A7F">
        <w:rPr>
          <w:color w:val="0070C0"/>
        </w:rPr>
        <w:t xml:space="preserve"> </w:t>
      </w:r>
      <w:proofErr w:type="spellStart"/>
      <w:r w:rsidRPr="000B05C2">
        <w:rPr>
          <w:color w:val="0070C0"/>
        </w:rPr>
        <w:t>fotoactive</w:t>
      </w:r>
      <w:proofErr w:type="spellEnd"/>
      <w:r w:rsidRPr="000B05C2">
        <w:rPr>
          <w:color w:val="0070C0"/>
        </w:rPr>
        <w:t xml:space="preserve">, </w:t>
      </w:r>
      <w:proofErr w:type="spellStart"/>
      <w:r w:rsidRPr="000B05C2">
        <w:rPr>
          <w:color w:val="0070C0"/>
        </w:rPr>
        <w:t>cromoactive</w:t>
      </w:r>
      <w:proofErr w:type="spellEnd"/>
      <w:r w:rsidRPr="000B05C2">
        <w:rPr>
          <w:color w:val="0070C0"/>
        </w:rPr>
        <w:t>, cu senzori încorporați), în industria textilă (textile cu proprietăți antibacteriene,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de autoadaptare), pentru electronice/comunicații, </w:t>
      </w:r>
      <w:proofErr w:type="spellStart"/>
      <w:r w:rsidRPr="000B05C2">
        <w:rPr>
          <w:color w:val="0070C0"/>
        </w:rPr>
        <w:t>actuatori</w:t>
      </w:r>
      <w:proofErr w:type="spellEnd"/>
      <w:r w:rsidRPr="000B05C2">
        <w:rPr>
          <w:color w:val="0070C0"/>
        </w:rPr>
        <w:t>/senzori, dispozitive medicale (mușchi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artificiali, pansamente inteligente).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5.3 Materiale reciclabile și tehnologii pentru reciclarea materialelor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Domeniul vizează proiectarea și dezvoltarea de materiale care să conducă – în contextul utilizării lor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în economie - la implementarea unor procese și tehnologii de reciclare eficiente, cu consum mic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energie și poluare limitată. Se urmărește astfel inclusiv reducerea dependenței de materiile prime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critice, prin dezvoltarea de soluții alternative </w:t>
      </w:r>
      <w:proofErr w:type="spellStart"/>
      <w:r w:rsidRPr="000B05C2">
        <w:rPr>
          <w:color w:val="0070C0"/>
        </w:rPr>
        <w:t>green</w:t>
      </w:r>
      <w:proofErr w:type="spellEnd"/>
      <w:r w:rsidRPr="000B05C2">
        <w:rPr>
          <w:color w:val="0070C0"/>
        </w:rPr>
        <w:t xml:space="preserve"> și sustenabile pe termen mediu și lung.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 xml:space="preserve">5.4 Materiale pentru aplicații electronice, electrice, fotonice, magnetice și în </w:t>
      </w:r>
      <w:proofErr w:type="spellStart"/>
      <w:r w:rsidRPr="000D1A7F">
        <w:rPr>
          <w:b/>
          <w:color w:val="0070C0"/>
        </w:rPr>
        <w:t>senzoristică</w:t>
      </w:r>
      <w:proofErr w:type="spellEnd"/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 xml:space="preserve">Include materiale, inclusiv </w:t>
      </w:r>
      <w:proofErr w:type="spellStart"/>
      <w:r w:rsidRPr="000B05C2">
        <w:rPr>
          <w:color w:val="0070C0"/>
        </w:rPr>
        <w:t>bioinspirate</w:t>
      </w:r>
      <w:proofErr w:type="spellEnd"/>
      <w:r w:rsidRPr="000B05C2">
        <w:rPr>
          <w:color w:val="0070C0"/>
        </w:rPr>
        <w:t>, pentru componente electrice și electronice, senzori inteligenți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 xml:space="preserve">(inclusiv biochimici, chimici și electrochimici), dispozitive micro- și </w:t>
      </w:r>
      <w:proofErr w:type="spellStart"/>
      <w:r w:rsidRPr="000B05C2">
        <w:rPr>
          <w:color w:val="0070C0"/>
        </w:rPr>
        <w:t>nanoelectronice</w:t>
      </w:r>
      <w:proofErr w:type="spellEnd"/>
      <w:r w:rsidRPr="000B05C2">
        <w:rPr>
          <w:color w:val="0070C0"/>
        </w:rPr>
        <w:t>, componente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sisteme fotonice, dispozitive cuantice, dispozitive pentru recuperarea energiei, precum și tehnologii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integrare a acestora în aplicații din inginerie, telecomunicații, tehnologia informației, spațiu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securitate, tehnologii cuantice, biochimie, medicină.</w:t>
      </w:r>
    </w:p>
    <w:p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5.5 Materiale biocompatibile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proiectarea, modelarea, fabricarea și caracterizarea materialelor avansate, inteligente, înalt</w:t>
      </w:r>
      <w:r w:rsidR="002B4428">
        <w:rPr>
          <w:color w:val="0070C0"/>
        </w:rPr>
        <w:t xml:space="preserve"> </w:t>
      </w:r>
      <w:r w:rsidRPr="000B05C2">
        <w:rPr>
          <w:color w:val="0070C0"/>
        </w:rPr>
        <w:t xml:space="preserve">funcționale și dezvoltările în ingineria suprafeței, pentru aplicații </w:t>
      </w:r>
      <w:proofErr w:type="spellStart"/>
      <w:r w:rsidRPr="000B05C2">
        <w:rPr>
          <w:color w:val="0070C0"/>
        </w:rPr>
        <w:t>bioinspirate</w:t>
      </w:r>
      <w:proofErr w:type="spellEnd"/>
      <w:r w:rsidRPr="000B05C2">
        <w:rPr>
          <w:color w:val="0070C0"/>
        </w:rPr>
        <w:t xml:space="preserve"> și </w:t>
      </w:r>
      <w:proofErr w:type="spellStart"/>
      <w:r w:rsidRPr="000B05C2">
        <w:rPr>
          <w:color w:val="0070C0"/>
        </w:rPr>
        <w:t>biomimetice</w:t>
      </w:r>
      <w:proofErr w:type="spellEnd"/>
      <w:r w:rsidRPr="000B05C2">
        <w:rPr>
          <w:color w:val="0070C0"/>
        </w:rPr>
        <w:t xml:space="preserve"> în sectorul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medical precum: dispozitive implantabile, medicina regenerativă/personalizată/de precizie, sisteme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 xml:space="preserve">de eliberare controlată, diagnostic (inclusiv </w:t>
      </w:r>
      <w:proofErr w:type="spellStart"/>
      <w:r w:rsidRPr="000B05C2">
        <w:rPr>
          <w:color w:val="0070C0"/>
        </w:rPr>
        <w:t>bio</w:t>
      </w:r>
      <w:proofErr w:type="spellEnd"/>
      <w:r w:rsidRPr="000B05C2">
        <w:rPr>
          <w:color w:val="0070C0"/>
        </w:rPr>
        <w:t xml:space="preserve">-imagistică), platforme </w:t>
      </w:r>
      <w:proofErr w:type="spellStart"/>
      <w:r w:rsidRPr="000B05C2">
        <w:rPr>
          <w:color w:val="0070C0"/>
        </w:rPr>
        <w:t>teranostice</w:t>
      </w:r>
      <w:proofErr w:type="spellEnd"/>
      <w:r w:rsidRPr="000B05C2">
        <w:rPr>
          <w:color w:val="0070C0"/>
        </w:rPr>
        <w:t>, biosenzori,</w:t>
      </w:r>
      <w:r w:rsidR="00437D9C">
        <w:rPr>
          <w:color w:val="0070C0"/>
        </w:rPr>
        <w:t xml:space="preserve"> </w:t>
      </w:r>
      <w:proofErr w:type="spellStart"/>
      <w:r w:rsidRPr="000B05C2">
        <w:rPr>
          <w:color w:val="0070C0"/>
        </w:rPr>
        <w:t>bio</w:t>
      </w:r>
      <w:proofErr w:type="spellEnd"/>
      <w:r w:rsidRPr="000B05C2">
        <w:rPr>
          <w:color w:val="0070C0"/>
        </w:rPr>
        <w:t>(</w:t>
      </w:r>
      <w:proofErr w:type="spellStart"/>
      <w:r w:rsidRPr="000B05C2">
        <w:rPr>
          <w:color w:val="0070C0"/>
        </w:rPr>
        <w:t>nano</w:t>
      </w:r>
      <w:proofErr w:type="spellEnd"/>
      <w:r w:rsidRPr="000B05C2">
        <w:rPr>
          <w:color w:val="0070C0"/>
        </w:rPr>
        <w:t>)tehnologii, soluții în imunologie și cosmetică.</w:t>
      </w:r>
    </w:p>
    <w:p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5.6 Materiale pentru energie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materialele pentru panouri fotovoltaice, baterii, celule de combustie, materialele</w:t>
      </w:r>
      <w:r w:rsidR="00437D9C">
        <w:rPr>
          <w:color w:val="0070C0"/>
        </w:rPr>
        <w:t xml:space="preserve"> </w:t>
      </w:r>
      <w:proofErr w:type="spellStart"/>
      <w:r w:rsidRPr="000B05C2">
        <w:rPr>
          <w:color w:val="0070C0"/>
        </w:rPr>
        <w:t>superconductoare</w:t>
      </w:r>
      <w:proofErr w:type="spellEnd"/>
      <w:r w:rsidRPr="000B05C2">
        <w:rPr>
          <w:color w:val="0070C0"/>
        </w:rPr>
        <w:t xml:space="preserve">, </w:t>
      </w:r>
      <w:proofErr w:type="spellStart"/>
      <w:r w:rsidRPr="000B05C2">
        <w:rPr>
          <w:color w:val="0070C0"/>
        </w:rPr>
        <w:t>acoperiririle</w:t>
      </w:r>
      <w:proofErr w:type="spellEnd"/>
      <w:r w:rsidRPr="000B05C2">
        <w:rPr>
          <w:color w:val="0070C0"/>
        </w:rPr>
        <w:t xml:space="preserve"> </w:t>
      </w:r>
      <w:proofErr w:type="spellStart"/>
      <w:r w:rsidRPr="000B05C2">
        <w:rPr>
          <w:color w:val="0070C0"/>
        </w:rPr>
        <w:t>superhidrofobe</w:t>
      </w:r>
      <w:proofErr w:type="spellEnd"/>
      <w:r w:rsidRPr="000B05C2">
        <w:rPr>
          <w:color w:val="0070C0"/>
        </w:rPr>
        <w:t>, materialele termoizolante și alte materiale inovatoare,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cu funcționalitate sporită în domeniul producerii, stocării și transportului energiei.</w:t>
      </w:r>
    </w:p>
    <w:p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 xml:space="preserve">6. Mediu și </w:t>
      </w:r>
      <w:proofErr w:type="spellStart"/>
      <w:r w:rsidRPr="00437D9C">
        <w:rPr>
          <w:b/>
          <w:color w:val="0070C0"/>
        </w:rPr>
        <w:t>eco</w:t>
      </w:r>
      <w:proofErr w:type="spellEnd"/>
      <w:r w:rsidRPr="00437D9C">
        <w:rPr>
          <w:b/>
          <w:color w:val="0070C0"/>
        </w:rPr>
        <w:t>-tehnologii</w:t>
      </w:r>
    </w:p>
    <w:p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6.1 Tehnologii pentru gestionarea, monitorizarea și depoluarea mediului</w:t>
      </w:r>
    </w:p>
    <w:p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lastRenderedPageBreak/>
        <w:t xml:space="preserve">Include tehnologiile de monitorizare a mediului (inclusiv prin rețele de senzori și date </w:t>
      </w:r>
      <w:proofErr w:type="spellStart"/>
      <w:r w:rsidRPr="000B05C2">
        <w:rPr>
          <w:color w:val="0070C0"/>
        </w:rPr>
        <w:t>satelitare</w:t>
      </w:r>
      <w:proofErr w:type="spellEnd"/>
      <w:r w:rsidRPr="000B05C2">
        <w:rPr>
          <w:color w:val="0070C0"/>
        </w:rPr>
        <w:t>),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precum și cele menite să îmbunătățească calitatea aerului, apelor, solului și a sistemelor biologice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complexe și să permită gestionarea rapidă și eficientă a situațiilor de contaminare.</w:t>
      </w:r>
    </w:p>
    <w:p w:rsidR="000B05C2" w:rsidRPr="00F54867" w:rsidRDefault="000B05C2" w:rsidP="00466EB4">
      <w:pPr>
        <w:rPr>
          <w:b/>
          <w:color w:val="0070C0"/>
        </w:rPr>
      </w:pPr>
      <w:r w:rsidRPr="00F54867">
        <w:rPr>
          <w:b/>
          <w:color w:val="0070C0"/>
        </w:rPr>
        <w:t>6.2 Tehnologii pentru economia circulară</w:t>
      </w:r>
    </w:p>
    <w:p w:rsidR="00B2391B" w:rsidRPr="00093E54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pentru gestionarea deșeurilor (precum cele pentru colectarea și selectarea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optimizată, filtrarea apei, reprocesarea biologică, valorificarea deșeurilor în energie, piroliză etc) și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ansamblul soluțiilor care contribuie la reducerea deșeurilor și creșterea gradului de reciclare în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lanțurile valorice asociate produselor electronice, bateriilor, ambalajelor, materialelor plastice,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produselor textile, construcțiilor, alimentelor ș.a.</w:t>
      </w:r>
      <w:r w:rsidRPr="000B05C2">
        <w:rPr>
          <w:color w:val="0070C0"/>
        </w:rPr>
        <w:cr/>
      </w:r>
    </w:p>
    <w:sectPr w:rsidR="00B2391B" w:rsidRPr="00093E54" w:rsidSect="0027668F">
      <w:headerReference w:type="first" r:id="rId7"/>
      <w:pgSz w:w="11906" w:h="16838" w:code="9"/>
      <w:pgMar w:top="1134" w:right="851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56" w:rsidRDefault="00475A56" w:rsidP="002C069A">
      <w:pPr>
        <w:spacing w:line="240" w:lineRule="auto"/>
      </w:pPr>
      <w:r>
        <w:separator/>
      </w:r>
    </w:p>
  </w:endnote>
  <w:endnote w:type="continuationSeparator" w:id="0">
    <w:p w:rsidR="00475A56" w:rsidRDefault="00475A56" w:rsidP="002C0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56" w:rsidRDefault="00475A56" w:rsidP="002C069A">
      <w:pPr>
        <w:spacing w:line="240" w:lineRule="auto"/>
      </w:pPr>
      <w:r>
        <w:separator/>
      </w:r>
    </w:p>
  </w:footnote>
  <w:footnote w:type="continuationSeparator" w:id="0">
    <w:p w:rsidR="00475A56" w:rsidRDefault="00475A56" w:rsidP="002C06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68F" w:rsidRDefault="0027668F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700E0E58" wp14:editId="664949C4">
          <wp:simplePos x="0" y="0"/>
          <wp:positionH relativeFrom="column">
            <wp:posOffset>-269240</wp:posOffset>
          </wp:positionH>
          <wp:positionV relativeFrom="paragraph">
            <wp:posOffset>-85725</wp:posOffset>
          </wp:positionV>
          <wp:extent cx="2181225" cy="452755"/>
          <wp:effectExtent l="0" t="0" r="0" b="4445"/>
          <wp:wrapNone/>
          <wp:docPr id="30" name="Picture 30" descr="RO Cofinanțat de Uniunea Europeană_PO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RO Cofinanțat de Uniunea Europeană_PO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721E8C5" wp14:editId="3AEB77D4">
          <wp:simplePos x="0" y="0"/>
          <wp:positionH relativeFrom="column">
            <wp:posOffset>2531686</wp:posOffset>
          </wp:positionH>
          <wp:positionV relativeFrom="paragraph">
            <wp:posOffset>-410701</wp:posOffset>
          </wp:positionV>
          <wp:extent cx="880110" cy="929640"/>
          <wp:effectExtent l="0" t="0" r="0" b="381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2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5C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3E54"/>
    <w:rsid w:val="00096950"/>
    <w:rsid w:val="00097CF5"/>
    <w:rsid w:val="000A7376"/>
    <w:rsid w:val="000B05C2"/>
    <w:rsid w:val="000B2C42"/>
    <w:rsid w:val="000D1A7F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3C07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33E33"/>
    <w:rsid w:val="00243ECE"/>
    <w:rsid w:val="002541E4"/>
    <w:rsid w:val="0026092D"/>
    <w:rsid w:val="00260EF3"/>
    <w:rsid w:val="0027668F"/>
    <w:rsid w:val="00282086"/>
    <w:rsid w:val="00282FD3"/>
    <w:rsid w:val="002B051B"/>
    <w:rsid w:val="002B4428"/>
    <w:rsid w:val="002B45B9"/>
    <w:rsid w:val="002C069A"/>
    <w:rsid w:val="002D1A34"/>
    <w:rsid w:val="002D2873"/>
    <w:rsid w:val="002F258D"/>
    <w:rsid w:val="002F359A"/>
    <w:rsid w:val="0030186D"/>
    <w:rsid w:val="003041F7"/>
    <w:rsid w:val="00312A74"/>
    <w:rsid w:val="0032580E"/>
    <w:rsid w:val="00325E2F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D79D1"/>
    <w:rsid w:val="003E4CA0"/>
    <w:rsid w:val="003E4CA1"/>
    <w:rsid w:val="003E734F"/>
    <w:rsid w:val="004009C3"/>
    <w:rsid w:val="00402CA0"/>
    <w:rsid w:val="00415D38"/>
    <w:rsid w:val="00437D9C"/>
    <w:rsid w:val="004436D7"/>
    <w:rsid w:val="004446B0"/>
    <w:rsid w:val="00466EB4"/>
    <w:rsid w:val="00475A56"/>
    <w:rsid w:val="004820A9"/>
    <w:rsid w:val="0048251A"/>
    <w:rsid w:val="004A2E02"/>
    <w:rsid w:val="004A3BE9"/>
    <w:rsid w:val="004B06B5"/>
    <w:rsid w:val="004B5114"/>
    <w:rsid w:val="004C7CAC"/>
    <w:rsid w:val="004D6579"/>
    <w:rsid w:val="00505815"/>
    <w:rsid w:val="00505936"/>
    <w:rsid w:val="005075BE"/>
    <w:rsid w:val="0051225F"/>
    <w:rsid w:val="00515A5E"/>
    <w:rsid w:val="00523560"/>
    <w:rsid w:val="00544EFF"/>
    <w:rsid w:val="00546C1B"/>
    <w:rsid w:val="005555F1"/>
    <w:rsid w:val="00566E57"/>
    <w:rsid w:val="005A1197"/>
    <w:rsid w:val="005A7B8C"/>
    <w:rsid w:val="005B0A65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640A"/>
    <w:rsid w:val="00AB76A3"/>
    <w:rsid w:val="00AC3651"/>
    <w:rsid w:val="00AD09F9"/>
    <w:rsid w:val="00AD17B3"/>
    <w:rsid w:val="00AD704D"/>
    <w:rsid w:val="00AF4FBC"/>
    <w:rsid w:val="00AF745F"/>
    <w:rsid w:val="00B01EA8"/>
    <w:rsid w:val="00B2391B"/>
    <w:rsid w:val="00B3198F"/>
    <w:rsid w:val="00B328DE"/>
    <w:rsid w:val="00B40758"/>
    <w:rsid w:val="00B51C76"/>
    <w:rsid w:val="00B64592"/>
    <w:rsid w:val="00B6782F"/>
    <w:rsid w:val="00B84799"/>
    <w:rsid w:val="00B91AF7"/>
    <w:rsid w:val="00BA16BE"/>
    <w:rsid w:val="00BA6BDF"/>
    <w:rsid w:val="00BA6E6B"/>
    <w:rsid w:val="00BF0D04"/>
    <w:rsid w:val="00BF4360"/>
    <w:rsid w:val="00BF6FDC"/>
    <w:rsid w:val="00C00424"/>
    <w:rsid w:val="00C0502B"/>
    <w:rsid w:val="00C14708"/>
    <w:rsid w:val="00C26DEA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0BED"/>
    <w:rsid w:val="00CC64C9"/>
    <w:rsid w:val="00CE4E96"/>
    <w:rsid w:val="00CF65FD"/>
    <w:rsid w:val="00D02FC4"/>
    <w:rsid w:val="00D0461E"/>
    <w:rsid w:val="00D06D7E"/>
    <w:rsid w:val="00D27351"/>
    <w:rsid w:val="00D3125D"/>
    <w:rsid w:val="00D37511"/>
    <w:rsid w:val="00D51A55"/>
    <w:rsid w:val="00D541EB"/>
    <w:rsid w:val="00D60147"/>
    <w:rsid w:val="00D66425"/>
    <w:rsid w:val="00D669B8"/>
    <w:rsid w:val="00D67E53"/>
    <w:rsid w:val="00D745AC"/>
    <w:rsid w:val="00D80AA0"/>
    <w:rsid w:val="00DA6B9E"/>
    <w:rsid w:val="00DB36CE"/>
    <w:rsid w:val="00DC71CA"/>
    <w:rsid w:val="00DF073C"/>
    <w:rsid w:val="00E143D4"/>
    <w:rsid w:val="00E2520F"/>
    <w:rsid w:val="00E278D5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300F"/>
    <w:rsid w:val="00ED7BD8"/>
    <w:rsid w:val="00EF3773"/>
    <w:rsid w:val="00F03AB4"/>
    <w:rsid w:val="00F14DA7"/>
    <w:rsid w:val="00F36143"/>
    <w:rsid w:val="00F41FF2"/>
    <w:rsid w:val="00F54867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EA0"/>
    <w:rsid w:val="00FB5079"/>
    <w:rsid w:val="00FE0BDD"/>
    <w:rsid w:val="00FE2F4B"/>
    <w:rsid w:val="00FE31AD"/>
    <w:rsid w:val="00FF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73E252-BBBC-4B1A-B2CB-F7061EA8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61438"/>
    <w:pPr>
      <w:spacing w:before="160" w:after="0"/>
      <w:jc w:val="both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pPr>
      <w:spacing w:line="240" w:lineRule="auto"/>
    </w:pPr>
    <w:rPr>
      <w:i/>
      <w:sz w:val="20"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069A"/>
    <w:pPr>
      <w:spacing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D591C-EEB7-4B79-970F-349CC5C9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PETRICA</dc:creator>
  <cp:keywords/>
  <dc:description/>
  <cp:lastModifiedBy>Raluca PETRICA</cp:lastModifiedBy>
  <cp:revision>10</cp:revision>
  <dcterms:created xsi:type="dcterms:W3CDTF">2023-08-01T13:12:00Z</dcterms:created>
  <dcterms:modified xsi:type="dcterms:W3CDTF">2023-09-05T10:59:00Z</dcterms:modified>
</cp:coreProperties>
</file>